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E75029">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E75029">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854555" w:rsidRPr="00A00F0A">
        <w:rPr>
          <w:rStyle w:val="SinespaciadoCar"/>
          <w:rFonts w:cs="Arial"/>
          <w:b/>
        </w:rPr>
        <w:t>N</w:t>
      </w:r>
      <w:r w:rsidR="00854555">
        <w:rPr>
          <w:rStyle w:val="SinespaciadoCar"/>
          <w:rFonts w:cs="Arial"/>
          <w:b/>
        </w:rPr>
        <w:t>o</w:t>
      </w:r>
      <w:r w:rsidR="00854555" w:rsidRPr="00A00F0A">
        <w:rPr>
          <w:rStyle w:val="SinespaciadoCar"/>
          <w:rFonts w:cs="Arial"/>
          <w:b/>
        </w:rPr>
        <w:t>. 117 DE 2024 CÁMARA “POR MEDIO DE LA CUAL SE ADOPTAN ESTRATEGIAS DE PLANIFICACIÓN Y FORMACIÓN DEL TALENTO HUMANO DEL SISTEMA DE SALUD, SE CREA LA ESTRATEGIA NACIONAL DE PROTECCIÓN CONTRA LA VIOLENCIA AL TALENTO HUMANO DEL SISTEMA DE SALUD Y SE DICTAN OTRAS DISPOSICIONES”</w:t>
      </w:r>
      <w:r w:rsidR="00854555">
        <w:rPr>
          <w:rStyle w:val="SinespaciadoCar"/>
          <w:rFonts w:cs="Arial"/>
          <w:b/>
        </w:rPr>
        <w:t>.</w:t>
      </w:r>
    </w:p>
    <w:p w:rsidR="00931B69" w:rsidRDefault="00931B69" w:rsidP="009A5477">
      <w:pPr>
        <w:pStyle w:val="Sinespaciado"/>
        <w:jc w:val="center"/>
        <w:rPr>
          <w:rFonts w:cs="Arial"/>
        </w:rPr>
      </w:pPr>
    </w:p>
    <w:p w:rsidR="00900D93" w:rsidRPr="009A5477" w:rsidRDefault="000F3249" w:rsidP="009A5477">
      <w:pPr>
        <w:pStyle w:val="Sinespaciado"/>
        <w:jc w:val="center"/>
        <w:rPr>
          <w:rFonts w:cs="Arial"/>
        </w:rPr>
      </w:pPr>
      <w:r w:rsidRPr="009A5477">
        <w:rPr>
          <w:rFonts w:cs="Arial"/>
        </w:rPr>
        <w:t xml:space="preserve">(Aprobado en la Sesión presencial del </w:t>
      </w:r>
      <w:r w:rsidR="00D7787B">
        <w:rPr>
          <w:rFonts w:cs="Arial"/>
        </w:rPr>
        <w:t>19</w:t>
      </w:r>
      <w:r w:rsidR="00344B4D">
        <w:rPr>
          <w:rFonts w:cs="Arial"/>
        </w:rPr>
        <w:t xml:space="preserve"> de febrero de 202</w:t>
      </w:r>
      <w:r w:rsidR="00D7787B">
        <w:rPr>
          <w:rFonts w:cs="Arial"/>
        </w:rPr>
        <w:t>5</w:t>
      </w:r>
      <w:r w:rsidR="009A5477" w:rsidRPr="009A5477">
        <w:rPr>
          <w:rFonts w:cs="Arial"/>
        </w:rPr>
        <w:t>, Comisión VII Constituciona</w:t>
      </w:r>
      <w:r w:rsidR="009A5477">
        <w:rPr>
          <w:rFonts w:cs="Arial"/>
        </w:rPr>
        <w:t xml:space="preserve">l </w:t>
      </w:r>
      <w:r w:rsidRPr="009A5477">
        <w:rPr>
          <w:rFonts w:cs="Arial"/>
        </w:rPr>
        <w:t xml:space="preserve">Permanente de la H. Cámara de Representantes, </w:t>
      </w:r>
      <w:r w:rsidR="009A5477">
        <w:rPr>
          <w:rFonts w:cs="Arial"/>
        </w:rPr>
        <w:t>a</w:t>
      </w:r>
      <w:r w:rsidRPr="009A5477">
        <w:rPr>
          <w:rFonts w:cs="Arial"/>
        </w:rPr>
        <w:t xml:space="preserve">cta No. </w:t>
      </w:r>
      <w:r w:rsidR="00D7787B">
        <w:rPr>
          <w:rFonts w:cs="Arial"/>
        </w:rPr>
        <w:t>20</w:t>
      </w:r>
      <w:r w:rsidRPr="009A5477">
        <w:rPr>
          <w:rFonts w:cs="Arial"/>
        </w:rPr>
        <w:t>)</w:t>
      </w:r>
    </w:p>
    <w:p w:rsidR="00900D93" w:rsidRPr="00330383"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6262B6" w:rsidRPr="007B5F97" w:rsidRDefault="006262B6" w:rsidP="006262B6">
      <w:pPr>
        <w:keepNext/>
        <w:keepLines/>
        <w:spacing w:after="3" w:line="240" w:lineRule="atLeast"/>
        <w:ind w:left="10" w:right="6" w:hanging="10"/>
        <w:jc w:val="center"/>
        <w:rPr>
          <w:rFonts w:ascii="Arial" w:hAnsi="Arial" w:cs="Arial"/>
          <w:b/>
          <w:color w:val="000000"/>
        </w:rPr>
      </w:pPr>
      <w:r w:rsidRPr="007B5F97">
        <w:rPr>
          <w:rFonts w:ascii="Arial" w:hAnsi="Arial" w:cs="Arial"/>
          <w:b/>
          <w:color w:val="000000"/>
        </w:rPr>
        <w:t>CAPÍTULO I</w:t>
      </w:r>
    </w:p>
    <w:p w:rsidR="006262B6" w:rsidRPr="007B5F97" w:rsidRDefault="006262B6" w:rsidP="006262B6">
      <w:pPr>
        <w:keepNext/>
        <w:keepLines/>
        <w:spacing w:after="3" w:line="240" w:lineRule="atLeast"/>
        <w:ind w:left="10" w:right="6" w:hanging="10"/>
        <w:jc w:val="center"/>
        <w:rPr>
          <w:rFonts w:ascii="Arial" w:hAnsi="Arial" w:cs="Arial"/>
          <w:b/>
          <w:color w:val="000000"/>
        </w:rPr>
      </w:pPr>
    </w:p>
    <w:p w:rsidR="006262B6" w:rsidRPr="007B5F97" w:rsidRDefault="006262B6" w:rsidP="006262B6">
      <w:pPr>
        <w:spacing w:after="3" w:line="240" w:lineRule="atLeast"/>
        <w:ind w:left="10" w:right="2" w:hanging="10"/>
        <w:jc w:val="center"/>
        <w:rPr>
          <w:rFonts w:ascii="Arial" w:hAnsi="Arial" w:cs="Arial"/>
          <w:color w:val="000000"/>
        </w:rPr>
      </w:pPr>
      <w:r w:rsidRPr="007B5F97">
        <w:rPr>
          <w:rFonts w:ascii="Arial" w:hAnsi="Arial" w:cs="Arial"/>
          <w:b/>
          <w:color w:val="000000"/>
        </w:rPr>
        <w:t>DE LA FORMACIÓN Y PLANIFICACIÓN DEL TALENTO HUMANO EN SALUD</w:t>
      </w:r>
      <w:r w:rsidRPr="007B5F97">
        <w:rPr>
          <w:rFonts w:ascii="Arial" w:hAnsi="Arial" w:cs="Arial"/>
          <w:color w:val="000000"/>
        </w:rPr>
        <w:t>.</w:t>
      </w:r>
    </w:p>
    <w:p w:rsidR="006262B6" w:rsidRPr="007B5F97" w:rsidRDefault="006262B6" w:rsidP="006262B6">
      <w:pPr>
        <w:spacing w:after="3" w:line="240" w:lineRule="atLeast"/>
        <w:ind w:left="10" w:right="2" w:hanging="10"/>
        <w:jc w:val="both"/>
        <w:rPr>
          <w:rFonts w:ascii="Arial" w:hAnsi="Arial" w:cs="Arial"/>
          <w:color w:val="000000"/>
        </w:rPr>
      </w:pPr>
    </w:p>
    <w:p w:rsidR="006262B6" w:rsidRPr="007B5F97" w:rsidRDefault="006262B6" w:rsidP="006262B6">
      <w:pPr>
        <w:spacing w:after="3" w:line="240" w:lineRule="atLeast"/>
        <w:ind w:right="2" w:hanging="2"/>
        <w:jc w:val="both"/>
        <w:rPr>
          <w:rFonts w:ascii="Arial" w:hAnsi="Arial" w:cs="Arial"/>
          <w:b/>
          <w:color w:val="000000"/>
        </w:rPr>
      </w:pPr>
      <w:r w:rsidRPr="007B5F97">
        <w:rPr>
          <w:rFonts w:ascii="Arial" w:hAnsi="Arial" w:cs="Arial"/>
          <w:b/>
          <w:color w:val="000000"/>
        </w:rPr>
        <w:t xml:space="preserve">ARTÍCULO 1. Objeto: </w:t>
      </w:r>
      <w:r w:rsidRPr="007B5F97">
        <w:rPr>
          <w:rFonts w:ascii="Arial" w:hAnsi="Arial" w:cs="Arial"/>
          <w:color w:val="000000"/>
        </w:rPr>
        <w:t>La presente ley tiene por objeto establecer las estrategias de planificación, así como la formación del Talento Humano del Sistema de Salud y crear la</w:t>
      </w:r>
      <w:r w:rsidRPr="007B5F97">
        <w:rPr>
          <w:rFonts w:ascii="Arial" w:hAnsi="Arial" w:cs="Arial"/>
          <w:b/>
          <w:color w:val="000000"/>
        </w:rPr>
        <w:t xml:space="preserve"> </w:t>
      </w:r>
      <w:r w:rsidRPr="007B5F97">
        <w:rPr>
          <w:rFonts w:ascii="Arial" w:hAnsi="Arial" w:cs="Arial"/>
          <w:color w:val="000000"/>
        </w:rPr>
        <w:t>estrategia nacional de protección contra la violencia al talento humano del sistema de salud</w:t>
      </w:r>
      <w:r w:rsidRPr="007B5F97">
        <w:rPr>
          <w:rFonts w:ascii="Arial" w:hAnsi="Arial" w:cs="Arial"/>
          <w:b/>
          <w:color w:val="000000"/>
        </w:rPr>
        <w:t>.</w:t>
      </w:r>
    </w:p>
    <w:p w:rsidR="006262B6" w:rsidRPr="007B5F97" w:rsidRDefault="006262B6" w:rsidP="006262B6">
      <w:pPr>
        <w:spacing w:after="3" w:line="240" w:lineRule="atLeast"/>
        <w:ind w:right="2" w:hanging="2"/>
        <w:jc w:val="both"/>
        <w:rPr>
          <w:rFonts w:ascii="Arial" w:hAnsi="Arial" w:cs="Arial"/>
          <w:b/>
          <w:color w:val="000000"/>
        </w:rPr>
      </w:pPr>
    </w:p>
    <w:p w:rsidR="006262B6" w:rsidRPr="007B5F97" w:rsidRDefault="006262B6" w:rsidP="006262B6">
      <w:pPr>
        <w:spacing w:after="3" w:line="240" w:lineRule="atLeast"/>
        <w:ind w:right="2" w:hanging="2"/>
        <w:jc w:val="both"/>
        <w:rPr>
          <w:rFonts w:ascii="Arial" w:hAnsi="Arial" w:cs="Arial"/>
          <w:b/>
          <w:color w:val="000000"/>
        </w:rPr>
      </w:pPr>
      <w:r w:rsidRPr="007B5F97">
        <w:rPr>
          <w:rFonts w:ascii="Arial" w:hAnsi="Arial" w:cs="Arial"/>
          <w:b/>
          <w:color w:val="000000"/>
        </w:rPr>
        <w:t>ARTÍCULO 2. Formación Continua:</w:t>
      </w:r>
      <w:r w:rsidRPr="007B5F97">
        <w:rPr>
          <w:rFonts w:ascii="Arial" w:hAnsi="Arial" w:cs="Arial"/>
          <w:color w:val="000000"/>
        </w:rPr>
        <w:t xml:space="preserve"> Las Instituciones Prestadoras de Servicios de Salud que contraten Talento Humano del Sistema de Salud, dentro del marco de su competencia, deberán formular anualmente y conforme a los lineamientos que emita el Gobierno Nacional planes institucionales de formación continua del personal vinculado, considerando como objetivos:</w:t>
      </w:r>
    </w:p>
    <w:p w:rsidR="006262B6" w:rsidRPr="007B5F97" w:rsidRDefault="006262B6" w:rsidP="006262B6">
      <w:pPr>
        <w:spacing w:after="3" w:line="240" w:lineRule="atLeast"/>
        <w:ind w:right="2" w:hanging="2"/>
        <w:rPr>
          <w:rFonts w:ascii="Arial" w:hAnsi="Arial" w:cs="Arial"/>
          <w:color w:val="000000"/>
        </w:rPr>
      </w:pPr>
    </w:p>
    <w:p w:rsidR="006262B6" w:rsidRPr="007B5F97" w:rsidRDefault="006262B6" w:rsidP="006262B6">
      <w:pPr>
        <w:numPr>
          <w:ilvl w:val="0"/>
          <w:numId w:val="24"/>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 xml:space="preserve">Satisfacer las necesidades de desarrollo personal, profesional y ocupacional del Talento Humano del sistema de Salud durante su ciclo laboral;  </w:t>
      </w:r>
    </w:p>
    <w:p w:rsidR="006262B6" w:rsidRPr="007B5F97" w:rsidRDefault="006262B6" w:rsidP="006262B6">
      <w:pPr>
        <w:spacing w:after="20" w:line="240" w:lineRule="atLeast"/>
        <w:ind w:left="-2" w:right="2" w:firstLine="60"/>
        <w:rPr>
          <w:rFonts w:ascii="Arial" w:hAnsi="Arial" w:cs="Arial"/>
          <w:color w:val="000000"/>
        </w:rPr>
      </w:pPr>
    </w:p>
    <w:p w:rsidR="006262B6" w:rsidRPr="007B5F97" w:rsidRDefault="006262B6" w:rsidP="006262B6">
      <w:pPr>
        <w:numPr>
          <w:ilvl w:val="0"/>
          <w:numId w:val="24"/>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Responder a las necesidades y problemáticas en salud de la población, así como a los requerimientos para la atención en salud, en coherencia con los avances del conocimiento y la tecnología, priorizando aspectos y temáticas que fortalezcan la Atención Primaria en Salud, el enfoque diferencial y la gestión integral del riesgo</w:t>
      </w:r>
      <w:r w:rsidR="005E0653">
        <w:rPr>
          <w:rFonts w:ascii="Arial" w:hAnsi="Arial" w:cs="Arial"/>
          <w:color w:val="000000"/>
        </w:rPr>
        <w:t xml:space="preserve"> en salud</w:t>
      </w:r>
      <w:r w:rsidRPr="007B5F97">
        <w:rPr>
          <w:rFonts w:ascii="Arial" w:hAnsi="Arial" w:cs="Arial"/>
          <w:color w:val="000000"/>
        </w:rPr>
        <w:t>.</w:t>
      </w:r>
    </w:p>
    <w:p w:rsidR="006262B6" w:rsidRPr="007B5F97" w:rsidRDefault="006262B6" w:rsidP="006262B6">
      <w:pPr>
        <w:spacing w:after="21" w:line="240" w:lineRule="atLeast"/>
        <w:ind w:left="-2" w:right="2" w:firstLine="60"/>
        <w:rPr>
          <w:rFonts w:ascii="Arial" w:hAnsi="Arial" w:cs="Arial"/>
          <w:color w:val="000000"/>
        </w:rPr>
      </w:pPr>
    </w:p>
    <w:p w:rsidR="006262B6" w:rsidRPr="007B5F97" w:rsidRDefault="006262B6" w:rsidP="006262B6">
      <w:pPr>
        <w:numPr>
          <w:ilvl w:val="0"/>
          <w:numId w:val="24"/>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Implementar procesos de adquisición y actualización de conocimiento sobre el SGSSS, los objetivos y metas en salud, mejoramiento de la calidad de la atención y trato al usuario y /o paciente, actualización respecto a tecnologías de la información vinculada al sector, entre otros aspectos que establezca el Ministerio de Salud y Protección Social en la reglamentación del Sistema de Formación Continua para el Talento Humano en Salud; integrando sus dimensiones técnicas, sociales, de equidad, de calidad, de participación y de ética.</w:t>
      </w:r>
    </w:p>
    <w:p w:rsidR="006262B6" w:rsidRPr="007B5F97" w:rsidRDefault="006262B6" w:rsidP="006262B6">
      <w:pPr>
        <w:spacing w:after="3" w:line="240" w:lineRule="atLeast"/>
        <w:ind w:left="-2" w:right="2"/>
        <w:jc w:val="both"/>
        <w:rPr>
          <w:rFonts w:ascii="Arial" w:hAnsi="Arial" w:cs="Arial"/>
          <w:color w:val="000000"/>
        </w:rPr>
      </w:pPr>
    </w:p>
    <w:p w:rsidR="006262B6" w:rsidRPr="007B5F97" w:rsidRDefault="006262B6" w:rsidP="006262B6">
      <w:pPr>
        <w:numPr>
          <w:ilvl w:val="0"/>
          <w:numId w:val="24"/>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lastRenderedPageBreak/>
        <w:t>Las demás que se consideren necesaria acorde con el Sistema de Formación Continua para el Talento Humano en Salud;</w:t>
      </w:r>
    </w:p>
    <w:p w:rsidR="006262B6" w:rsidRPr="007B5F97" w:rsidRDefault="006262B6" w:rsidP="006262B6">
      <w:pPr>
        <w:spacing w:after="3" w:line="240" w:lineRule="atLeast"/>
        <w:ind w:right="2" w:hanging="2"/>
        <w:jc w:val="both"/>
        <w:rPr>
          <w:rFonts w:ascii="Arial" w:hAnsi="Arial" w:cs="Arial"/>
          <w:color w:val="000000"/>
        </w:rPr>
      </w:pP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PARÁGRAFO 1</w:t>
      </w:r>
      <w:r w:rsidRPr="007B5F97">
        <w:rPr>
          <w:rFonts w:ascii="Arial" w:hAnsi="Arial" w:cs="Arial"/>
          <w:b/>
          <w:color w:val="000000"/>
          <w:u w:val="single"/>
        </w:rPr>
        <w:t>°</w:t>
      </w:r>
      <w:r w:rsidRPr="007B5F97">
        <w:rPr>
          <w:rFonts w:ascii="Arial" w:hAnsi="Arial" w:cs="Arial"/>
          <w:b/>
          <w:color w:val="000000"/>
        </w:rPr>
        <w:t>.</w:t>
      </w:r>
      <w:r w:rsidRPr="007B5F97">
        <w:rPr>
          <w:rFonts w:ascii="Arial" w:hAnsi="Arial" w:cs="Arial"/>
          <w:color w:val="000000"/>
        </w:rPr>
        <w:t xml:space="preserve"> Los programas de formación continua deberán ser impartidos por personal idóneo vinculados a instituciones educativas autorizadas por el Gobierno nacional.</w:t>
      </w:r>
    </w:p>
    <w:p w:rsidR="006262B6" w:rsidRPr="007B5F97" w:rsidRDefault="006262B6" w:rsidP="006262B6">
      <w:pPr>
        <w:spacing w:after="3" w:line="240" w:lineRule="atLeast"/>
        <w:ind w:right="2" w:hanging="2"/>
        <w:rPr>
          <w:rFonts w:ascii="Arial" w:hAnsi="Arial" w:cs="Arial"/>
          <w:color w:val="000000"/>
        </w:rPr>
      </w:pP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 xml:space="preserve">ARTÍCULO 3°. Cooperación Internacional Académica y Profesional. </w:t>
      </w:r>
      <w:r w:rsidRPr="007B5F97">
        <w:rPr>
          <w:rFonts w:ascii="Arial" w:hAnsi="Arial" w:cs="Arial"/>
          <w:color w:val="000000"/>
        </w:rPr>
        <w:t xml:space="preserve">El Ministerio de Salud y Protección Social, en conjunto con el Ministerio de Educación Nacional, el Ministerio de Ciencia Tecnología e Innovación, el Ministerio de Relaciones Exteriores y el Instituto Colombiano de Crédito Educativo y Estudios Técnicos en el Exterior — ICETEX </w:t>
      </w:r>
      <w:r w:rsidR="005E0653">
        <w:rPr>
          <w:rFonts w:ascii="Arial" w:hAnsi="Arial" w:cs="Arial"/>
          <w:color w:val="000000"/>
        </w:rPr>
        <w:t>facilitaran los mecanismos e instrumentos para impulsar la movilidad internacional académica y en materia d</w:t>
      </w:r>
      <w:r w:rsidRPr="007B5F97">
        <w:rPr>
          <w:rFonts w:ascii="Arial" w:hAnsi="Arial" w:cs="Arial"/>
          <w:color w:val="000000"/>
        </w:rPr>
        <w:t xml:space="preserve">e </w:t>
      </w:r>
      <w:r w:rsidR="005E0653">
        <w:rPr>
          <w:rFonts w:ascii="Arial" w:hAnsi="Arial" w:cs="Arial"/>
          <w:color w:val="000000"/>
        </w:rPr>
        <w:t xml:space="preserve">investigación, desarrollo tecnológico e innovación </w:t>
      </w:r>
      <w:r w:rsidRPr="007B5F97">
        <w:rPr>
          <w:rFonts w:ascii="Arial" w:hAnsi="Arial" w:cs="Arial"/>
          <w:color w:val="000000"/>
        </w:rPr>
        <w:t xml:space="preserve">del Talento Humano en el área de la Salud. </w:t>
      </w:r>
    </w:p>
    <w:p w:rsidR="006262B6" w:rsidRPr="007B5F97" w:rsidRDefault="006262B6" w:rsidP="006262B6">
      <w:pPr>
        <w:spacing w:after="3"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ARTÍCULO 4°. Planificación del Talento Humano.</w:t>
      </w:r>
      <w:r w:rsidRPr="007B5F97">
        <w:rPr>
          <w:rFonts w:ascii="Arial" w:hAnsi="Arial" w:cs="Arial"/>
          <w:color w:val="000000"/>
        </w:rPr>
        <w:t xml:space="preserve"> El Ministerio de Salud y Protección Social, con la asesoría del Consejo Nacional del Talento Humano en Salud, determinará las necesidades de personal en los territorios para el cumplimiento de los objetivos del SGSSS, basado en antecedentes sanitarios, de prestación de servicios, y en el desarrollo y aplicación de metodologías para la estimación de necesidades actuales y futuras. </w:t>
      </w:r>
    </w:p>
    <w:p w:rsidR="006262B6" w:rsidRPr="007B5F97" w:rsidRDefault="006262B6" w:rsidP="006262B6">
      <w:pPr>
        <w:spacing w:after="3" w:line="240" w:lineRule="atLeast"/>
        <w:ind w:right="2" w:hanging="2"/>
        <w:rPr>
          <w:rFonts w:ascii="Arial" w:hAnsi="Arial" w:cs="Arial"/>
          <w:color w:val="000000"/>
        </w:rPr>
      </w:pP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color w:val="000000"/>
        </w:rPr>
        <w:t xml:space="preserve">El proceso de planificación de Talento Humano del Sistema de Salud se realizará bajo los siguientes lineamientos generales: </w:t>
      </w:r>
    </w:p>
    <w:p w:rsidR="006262B6" w:rsidRPr="007B5F97" w:rsidRDefault="006262B6" w:rsidP="006262B6">
      <w:pPr>
        <w:spacing w:after="20" w:line="240" w:lineRule="atLeast"/>
        <w:ind w:right="2" w:hanging="2"/>
        <w:rPr>
          <w:rFonts w:ascii="Arial" w:hAnsi="Arial" w:cs="Arial"/>
          <w:color w:val="000000"/>
        </w:rPr>
      </w:pPr>
    </w:p>
    <w:p w:rsidR="006262B6" w:rsidRPr="007B5F97" w:rsidRDefault="006262B6" w:rsidP="006262B6">
      <w:pPr>
        <w:numPr>
          <w:ilvl w:val="0"/>
          <w:numId w:val="25"/>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Se desarrollará de manera sistemática considerando en forma integral las relaciones existentes entre las diferentes profesiones y ocupaciones de la salud, teniendo en cuenta la presencia de las mismas y el balance geográfico en su distribución. Lo anterior, sin perjuicio de la concesión de incentivos para el Talento Humano que adhiera el cambio en ese sentido.</w:t>
      </w:r>
    </w:p>
    <w:p w:rsidR="006262B6" w:rsidRPr="007B5F97" w:rsidRDefault="006262B6" w:rsidP="006262B6">
      <w:pPr>
        <w:numPr>
          <w:ilvl w:val="0"/>
          <w:numId w:val="25"/>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 xml:space="preserve">Contemplará mecanismos de participación activa de los territorios, con asociaciones, agremiaciones del sector salud y de actores sociales relevantes, los cuales proveerán información en forma oportuna. </w:t>
      </w:r>
    </w:p>
    <w:p w:rsidR="006262B6" w:rsidRPr="007B5F97" w:rsidRDefault="006262B6" w:rsidP="006262B6">
      <w:pPr>
        <w:numPr>
          <w:ilvl w:val="0"/>
          <w:numId w:val="25"/>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 xml:space="preserve">Se apoyará en el Sistema de Información para la Gestión, Planificación y Formación del Talento Humano del Sistema de Salud y de los análisis y estudios que se emitan en el Observatorio del Talento Humano en Salud.  </w:t>
      </w:r>
    </w:p>
    <w:p w:rsidR="006262B6" w:rsidRPr="007B5F97" w:rsidRDefault="006262B6" w:rsidP="006262B6">
      <w:pPr>
        <w:numPr>
          <w:ilvl w:val="0"/>
          <w:numId w:val="25"/>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 xml:space="preserve">Comprenderá la realización de estudios de carga y jornada laboral del Talento Humano, las condiciones de salud mental del personal, la proyección de necesidades de personal requerido para realizar actividades de promoción, prevención, tratamiento, rehabilitación, paliación; el diseño de estrategias de cierre de brechas e inequidades laborales; los análisis más prevalentes de salud y de las intervenciones más efectivas y la consideración del conjunto de competencias requeridas para resolver la demanda en salud existente.  </w:t>
      </w:r>
    </w:p>
    <w:p w:rsidR="006262B6" w:rsidRPr="007B5F97" w:rsidRDefault="006262B6" w:rsidP="006262B6">
      <w:pPr>
        <w:numPr>
          <w:ilvl w:val="0"/>
          <w:numId w:val="25"/>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 xml:space="preserve">Tendrá un enfoque multidisciplinario y buscará la complementariedad de diferentes perfiles de competencia.  </w:t>
      </w:r>
    </w:p>
    <w:p w:rsidR="006262B6" w:rsidRPr="007B5F97" w:rsidRDefault="006262B6" w:rsidP="006262B6">
      <w:pPr>
        <w:numPr>
          <w:ilvl w:val="0"/>
          <w:numId w:val="25"/>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 xml:space="preserve">Tendrá un enfoque territorial, que reconozca y respete las prácticas culturales locales, fomente la inclusión y el respeto por la diversidad cultural en todos los niveles del sistema de salud.  </w:t>
      </w:r>
    </w:p>
    <w:p w:rsidR="006262B6" w:rsidRPr="007B5F97" w:rsidRDefault="006262B6" w:rsidP="006262B6">
      <w:pPr>
        <w:numPr>
          <w:ilvl w:val="0"/>
          <w:numId w:val="25"/>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Tendrá un enfoque de equidad de género.</w:t>
      </w:r>
    </w:p>
    <w:p w:rsidR="006262B6" w:rsidRPr="007B5F97" w:rsidRDefault="006262B6" w:rsidP="006262B6">
      <w:pPr>
        <w:spacing w:after="3" w:line="240" w:lineRule="atLeast"/>
        <w:jc w:val="both"/>
        <w:rPr>
          <w:rFonts w:ascii="Arial" w:hAnsi="Arial" w:cs="Arial"/>
          <w:color w:val="000000"/>
        </w:rPr>
      </w:pP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color w:val="000000"/>
        </w:rPr>
        <w:t xml:space="preserve">En esa línea, el trabajo del Talento Humano del Sistema de Salud en la red asistencial deberá considerar especialmente la formación y desarrollo en medicina familiar y comunitaria, en un contexto de envejecimiento de la población y de la creciente carga de enfermedades crónicas, </w:t>
      </w:r>
      <w:r w:rsidRPr="007B5F97">
        <w:rPr>
          <w:rFonts w:ascii="Arial" w:hAnsi="Arial" w:cs="Arial"/>
          <w:color w:val="000000"/>
        </w:rPr>
        <w:lastRenderedPageBreak/>
        <w:t xml:space="preserve">incluyendo la atención a pacientes con comorbilidades, cuyo modelo de atención se construye sobre interacción entre el paciente, la comunidad y los prestadores de salud. </w:t>
      </w:r>
    </w:p>
    <w:p w:rsidR="006262B6" w:rsidRPr="007B5F97" w:rsidRDefault="006262B6" w:rsidP="006262B6">
      <w:pPr>
        <w:spacing w:after="3"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ARTÍCULO 5°. Plazo de reglamentación:</w:t>
      </w:r>
      <w:r w:rsidRPr="007B5F97">
        <w:rPr>
          <w:rFonts w:ascii="Arial" w:hAnsi="Arial" w:cs="Arial"/>
          <w:color w:val="000000"/>
        </w:rPr>
        <w:t xml:space="preserve"> El Ministerio de Salud y Protección Social tendrá un plazo máximo de seis (6) meses, a partir de la vigencia de la presente ley, para reglamentar y establecer los mecanismos adecuados para garantizar el cumplimiento de las disposiciones contenidas en el Capítulo I de la presente ley. </w:t>
      </w:r>
    </w:p>
    <w:p w:rsidR="006262B6" w:rsidRPr="007B5F97" w:rsidRDefault="006262B6" w:rsidP="006262B6">
      <w:pPr>
        <w:spacing w:after="3" w:line="240" w:lineRule="atLeast"/>
        <w:ind w:right="2" w:hanging="2"/>
        <w:jc w:val="both"/>
        <w:rPr>
          <w:rFonts w:ascii="Arial" w:hAnsi="Arial" w:cs="Arial"/>
          <w:color w:val="000000"/>
        </w:rPr>
      </w:pPr>
    </w:p>
    <w:p w:rsidR="006262B6" w:rsidRPr="007B5F97" w:rsidRDefault="006262B6" w:rsidP="006262B6">
      <w:pPr>
        <w:keepNext/>
        <w:keepLines/>
        <w:spacing w:line="240" w:lineRule="atLeast"/>
        <w:ind w:right="3" w:hanging="2"/>
        <w:jc w:val="center"/>
        <w:rPr>
          <w:rFonts w:ascii="Arial" w:hAnsi="Arial" w:cs="Arial"/>
          <w:b/>
          <w:color w:val="000000"/>
        </w:rPr>
      </w:pPr>
      <w:r w:rsidRPr="007B5F97">
        <w:rPr>
          <w:rFonts w:ascii="Arial" w:hAnsi="Arial" w:cs="Arial"/>
          <w:b/>
          <w:color w:val="000000"/>
        </w:rPr>
        <w:t>CAPÍTULO II</w:t>
      </w:r>
    </w:p>
    <w:p w:rsidR="006262B6" w:rsidRPr="007B5F97" w:rsidRDefault="006262B6" w:rsidP="006262B6">
      <w:pPr>
        <w:keepNext/>
        <w:keepLines/>
        <w:spacing w:line="240" w:lineRule="atLeast"/>
        <w:ind w:right="3" w:hanging="2"/>
        <w:jc w:val="center"/>
        <w:rPr>
          <w:rFonts w:ascii="Arial" w:hAnsi="Arial" w:cs="Arial"/>
          <w:b/>
          <w:color w:val="000000"/>
        </w:rPr>
      </w:pPr>
      <w:r w:rsidRPr="007B5F97">
        <w:rPr>
          <w:rFonts w:ascii="Arial" w:hAnsi="Arial" w:cs="Arial"/>
          <w:b/>
          <w:color w:val="000000"/>
        </w:rPr>
        <w:t xml:space="preserve">DE LA PROTECCIÓN CONTRA LA VIOLENCIA </w:t>
      </w:r>
      <w:r w:rsidR="008254EF">
        <w:rPr>
          <w:rFonts w:ascii="Arial" w:hAnsi="Arial" w:cs="Arial"/>
          <w:b/>
          <w:color w:val="000000"/>
        </w:rPr>
        <w:t xml:space="preserve">HACIA </w:t>
      </w:r>
      <w:r w:rsidRPr="007B5F97">
        <w:rPr>
          <w:rFonts w:ascii="Arial" w:hAnsi="Arial" w:cs="Arial"/>
          <w:b/>
          <w:color w:val="000000"/>
        </w:rPr>
        <w:t xml:space="preserve">EL TALENTO HUMANO EN SALUD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 xml:space="preserve">ARTÍCULO 6°. Estrategia Nacional de Protección contra la Violencia al Talento Humano del Sistema de Salud. </w:t>
      </w:r>
      <w:r w:rsidRPr="007B5F97">
        <w:rPr>
          <w:rFonts w:ascii="Arial" w:hAnsi="Arial" w:cs="Arial"/>
          <w:color w:val="000000"/>
        </w:rPr>
        <w:t xml:space="preserve">El Gobierno Nacional, en cabeza del Ministerio de Salud y Protección Social, adoptará una estrategia intersectorial con el objeto principal de identificar, cuantificar y plantear soluciones efectivas para la protección de la vida, salud mental, buen nombre e integridad del Talento Humano del Sistema de Salud en el ejercicio de sus labores. La elaboración de esta estrategia propenderá por el cumplimiento de los siguientes objetivos:  </w:t>
      </w:r>
    </w:p>
    <w:p w:rsidR="006262B6" w:rsidRPr="007B5F97" w:rsidRDefault="006262B6" w:rsidP="006262B6">
      <w:pPr>
        <w:spacing w:after="20"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numPr>
          <w:ilvl w:val="0"/>
          <w:numId w:val="26"/>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 xml:space="preserve">Prevenir de forma efectiva la violencia contra el Talento Humano del Sistema de Salud mediante medidas eficaces en el ámbito laboral, social, económico y jurídico. Para ello, los directivos de las instituciones prestadoras de servicio de salud deberán implementar acciones pedagógicas pertinentes.  </w:t>
      </w:r>
    </w:p>
    <w:p w:rsidR="006262B6" w:rsidRPr="007B5F97" w:rsidRDefault="006262B6" w:rsidP="006262B6">
      <w:pPr>
        <w:numPr>
          <w:ilvl w:val="0"/>
          <w:numId w:val="26"/>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 xml:space="preserve">Promover el trabajo interinstitucional y colaborativo con todos los actores del Estado colombiano para garantizar la seguridad e integridad del Talento Humano del Sistema de Salud. Así mismo, las instituciones prestadoras de servicios de salud privadas deberán implementar acciones para garantizar a través de sus servicios de seguridad y en coordinación con las autoridades pertinentes la protección del talento humano Salud. </w:t>
      </w:r>
    </w:p>
    <w:p w:rsidR="006262B6" w:rsidRPr="007B5F97" w:rsidRDefault="006262B6" w:rsidP="006262B6">
      <w:pPr>
        <w:numPr>
          <w:ilvl w:val="0"/>
          <w:numId w:val="26"/>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 xml:space="preserve">Implementar marcos de información y de seguimiento que permitan identificar plenamente las causas, modalidades, particularidades regionales y las consecuencias de la violencia contra el Talento Humano del Sistema de Salud. </w:t>
      </w:r>
    </w:p>
    <w:p w:rsidR="006262B6" w:rsidRPr="007B5F97" w:rsidRDefault="006262B6" w:rsidP="006262B6">
      <w:pPr>
        <w:numPr>
          <w:ilvl w:val="0"/>
          <w:numId w:val="26"/>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 xml:space="preserve">Promover el ejercicio de la profesión y ocupación en salud a partir del desarrollo de una cultura que valora y reconoce el esfuerzo y compromiso de los miembros del Talento Humano del Sistema de Salud en el desarrollo de tareas y procesos que tienen como fin mejorar la calidad de vida y de salud de los pacientes.  </w:t>
      </w:r>
    </w:p>
    <w:p w:rsidR="00FE68A2" w:rsidRDefault="006262B6" w:rsidP="006262B6">
      <w:pPr>
        <w:numPr>
          <w:ilvl w:val="0"/>
          <w:numId w:val="26"/>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Los demás que el Comité Interinstitucional considere necesarios y pertinentes. La Estrategia Nacional desarrollará indicadores y metas que permitan medir periódicamente la eficacia en el cumplimiento de los objetivos aquí definidos.</w:t>
      </w:r>
    </w:p>
    <w:p w:rsidR="006262B6" w:rsidRPr="007B5F97" w:rsidRDefault="00FE68A2" w:rsidP="006262B6">
      <w:pPr>
        <w:numPr>
          <w:ilvl w:val="0"/>
          <w:numId w:val="26"/>
        </w:numPr>
        <w:pBdr>
          <w:top w:val="nil"/>
          <w:left w:val="nil"/>
          <w:bottom w:val="nil"/>
          <w:right w:val="nil"/>
          <w:between w:val="nil"/>
        </w:pBdr>
        <w:spacing w:after="3" w:line="240" w:lineRule="atLeast"/>
        <w:ind w:right="2"/>
        <w:jc w:val="both"/>
        <w:rPr>
          <w:rFonts w:ascii="Arial" w:hAnsi="Arial" w:cs="Arial"/>
          <w:color w:val="000000"/>
        </w:rPr>
      </w:pPr>
      <w:r>
        <w:rPr>
          <w:rFonts w:ascii="Arial" w:hAnsi="Arial" w:cs="Arial"/>
          <w:color w:val="000000"/>
        </w:rPr>
        <w:t xml:space="preserve">Definir el protocolo de prevención de agresiones, enfocado a los diferentes escenarios identificados en la institución. Comunicarlo y divulgarlo entre las partes interesadas y comúnmente afectadas. </w:t>
      </w:r>
      <w:r w:rsidR="006262B6" w:rsidRPr="007B5F97">
        <w:rPr>
          <w:rFonts w:ascii="Arial" w:hAnsi="Arial" w:cs="Arial"/>
          <w:color w:val="000000"/>
        </w:rPr>
        <w:t xml:space="preserve"> </w:t>
      </w:r>
    </w:p>
    <w:p w:rsidR="006262B6" w:rsidRPr="007B5F97" w:rsidRDefault="006262B6" w:rsidP="006262B6">
      <w:pPr>
        <w:spacing w:after="3" w:line="240" w:lineRule="atLeast"/>
        <w:ind w:right="2" w:hanging="2"/>
        <w:rPr>
          <w:rFonts w:ascii="Arial" w:hAnsi="Arial" w:cs="Arial"/>
          <w:color w:val="000000"/>
        </w:rPr>
      </w:pP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 xml:space="preserve">ARTÍCULO 7°. Comité Interinstitucional de lucha contra la violencia contra el talento humano. </w:t>
      </w:r>
      <w:r w:rsidRPr="007B5F97">
        <w:rPr>
          <w:rFonts w:ascii="Arial" w:hAnsi="Arial" w:cs="Arial"/>
          <w:color w:val="000000"/>
        </w:rPr>
        <w:t>Créase, con carácter permanente y adscrito al Ministerio de Salud y Protección Social, el "Comité Interinstitucional de Protección contra la Violencia de talento humano del Sistema de Salud" como organismo consultivo del Gobierno Nacional y ente coordinador de las acciones que se desarrollen para combatir actos de violencia contra el talento humano del Sistema de Salud</w:t>
      </w:r>
    </w:p>
    <w:p w:rsidR="006262B6" w:rsidRPr="007B5F97" w:rsidRDefault="006262B6" w:rsidP="006262B6">
      <w:pPr>
        <w:spacing w:after="3"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lastRenderedPageBreak/>
        <w:t xml:space="preserve">Parágrafo. </w:t>
      </w:r>
      <w:r w:rsidRPr="007B5F97">
        <w:rPr>
          <w:rFonts w:ascii="Arial" w:hAnsi="Arial" w:cs="Arial"/>
          <w:color w:val="000000"/>
        </w:rPr>
        <w:t>El Gobierno Nacional contará con un periodo de doce (12) meses para la consolidación de la estrategia y creación del comité, a partir de la expedición de la presente ley.</w:t>
      </w:r>
    </w:p>
    <w:p w:rsidR="006262B6" w:rsidRPr="007B5F97" w:rsidRDefault="006262B6" w:rsidP="006262B6">
      <w:pPr>
        <w:spacing w:after="3"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 xml:space="preserve">ARTÍCULO 8°. Del Comité y sus integrantes. </w:t>
      </w:r>
      <w:r w:rsidRPr="007B5F97">
        <w:rPr>
          <w:rFonts w:ascii="Arial" w:hAnsi="Arial" w:cs="Arial"/>
          <w:color w:val="000000"/>
        </w:rPr>
        <w:t xml:space="preserve">El Comité estará integrado por los siguientes miembros:  </w:t>
      </w:r>
    </w:p>
    <w:p w:rsidR="006262B6" w:rsidRPr="007B5F97" w:rsidRDefault="006262B6" w:rsidP="006262B6">
      <w:pPr>
        <w:spacing w:after="20"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numPr>
          <w:ilvl w:val="0"/>
          <w:numId w:val="27"/>
        </w:numPr>
        <w:pBdr>
          <w:top w:val="nil"/>
          <w:left w:val="nil"/>
          <w:bottom w:val="nil"/>
          <w:right w:val="nil"/>
          <w:between w:val="nil"/>
        </w:pBdr>
        <w:spacing w:after="34" w:line="240" w:lineRule="atLeast"/>
        <w:ind w:right="2"/>
        <w:jc w:val="both"/>
        <w:rPr>
          <w:rFonts w:ascii="Arial" w:hAnsi="Arial" w:cs="Arial"/>
          <w:color w:val="000000"/>
        </w:rPr>
      </w:pPr>
      <w:r w:rsidRPr="007B5F97">
        <w:rPr>
          <w:rFonts w:ascii="Arial" w:hAnsi="Arial" w:cs="Arial"/>
          <w:color w:val="000000"/>
        </w:rPr>
        <w:t>Ministro de Salud y Protección Social, Viceministro o Director de Talento Humano en Salud, o su delegado, quien lo presidirá.</w:t>
      </w:r>
    </w:p>
    <w:p w:rsidR="006262B6" w:rsidRPr="007B5F97" w:rsidRDefault="006262B6" w:rsidP="006262B6">
      <w:pPr>
        <w:numPr>
          <w:ilvl w:val="0"/>
          <w:numId w:val="27"/>
        </w:numPr>
        <w:pBdr>
          <w:top w:val="nil"/>
          <w:left w:val="nil"/>
          <w:bottom w:val="nil"/>
          <w:right w:val="nil"/>
          <w:between w:val="nil"/>
        </w:pBdr>
        <w:spacing w:after="28" w:line="240" w:lineRule="atLeast"/>
        <w:ind w:right="2"/>
        <w:jc w:val="both"/>
        <w:rPr>
          <w:rFonts w:ascii="Arial" w:hAnsi="Arial" w:cs="Arial"/>
          <w:color w:val="000000"/>
        </w:rPr>
      </w:pPr>
      <w:r w:rsidRPr="007B5F97">
        <w:rPr>
          <w:rFonts w:ascii="Arial" w:hAnsi="Arial" w:cs="Arial"/>
          <w:color w:val="000000"/>
        </w:rPr>
        <w:t xml:space="preserve">Superintendente Nacional de Salud o Superintendente Delegado. </w:t>
      </w:r>
    </w:p>
    <w:p w:rsidR="006262B6" w:rsidRPr="007B5F97" w:rsidRDefault="006262B6" w:rsidP="006262B6">
      <w:pPr>
        <w:numPr>
          <w:ilvl w:val="0"/>
          <w:numId w:val="27"/>
        </w:numPr>
        <w:pBdr>
          <w:top w:val="nil"/>
          <w:left w:val="nil"/>
          <w:bottom w:val="nil"/>
          <w:right w:val="nil"/>
          <w:between w:val="nil"/>
        </w:pBdr>
        <w:spacing w:after="30" w:line="240" w:lineRule="atLeast"/>
        <w:ind w:right="2"/>
        <w:jc w:val="both"/>
        <w:rPr>
          <w:rFonts w:ascii="Arial" w:hAnsi="Arial" w:cs="Arial"/>
          <w:color w:val="000000"/>
        </w:rPr>
      </w:pPr>
      <w:r w:rsidRPr="007B5F97">
        <w:rPr>
          <w:rFonts w:ascii="Arial" w:hAnsi="Arial" w:cs="Arial"/>
          <w:color w:val="000000"/>
        </w:rPr>
        <w:t xml:space="preserve">Fiscal General de la Nación o su delegado.  </w:t>
      </w:r>
    </w:p>
    <w:p w:rsidR="006262B6" w:rsidRPr="007B5F97" w:rsidRDefault="006262B6" w:rsidP="006262B6">
      <w:pPr>
        <w:numPr>
          <w:ilvl w:val="0"/>
          <w:numId w:val="27"/>
        </w:numPr>
        <w:pBdr>
          <w:top w:val="nil"/>
          <w:left w:val="nil"/>
          <w:bottom w:val="nil"/>
          <w:right w:val="nil"/>
          <w:between w:val="nil"/>
        </w:pBdr>
        <w:spacing w:after="30" w:line="240" w:lineRule="atLeast"/>
        <w:ind w:right="2"/>
        <w:jc w:val="both"/>
        <w:rPr>
          <w:rFonts w:ascii="Arial" w:hAnsi="Arial" w:cs="Arial"/>
          <w:color w:val="000000"/>
        </w:rPr>
      </w:pPr>
      <w:r w:rsidRPr="007B5F97">
        <w:rPr>
          <w:rFonts w:ascii="Arial" w:hAnsi="Arial" w:cs="Arial"/>
          <w:color w:val="000000"/>
        </w:rPr>
        <w:t xml:space="preserve">Defensor del Pueblo o su delegado.  </w:t>
      </w:r>
    </w:p>
    <w:p w:rsidR="006262B6" w:rsidRPr="007B5F97" w:rsidRDefault="006262B6" w:rsidP="006262B6">
      <w:pPr>
        <w:numPr>
          <w:ilvl w:val="0"/>
          <w:numId w:val="27"/>
        </w:numPr>
        <w:pBdr>
          <w:top w:val="nil"/>
          <w:left w:val="nil"/>
          <w:bottom w:val="nil"/>
          <w:right w:val="nil"/>
          <w:between w:val="nil"/>
        </w:pBdr>
        <w:spacing w:after="31" w:line="240" w:lineRule="atLeast"/>
        <w:ind w:right="2"/>
        <w:jc w:val="both"/>
        <w:rPr>
          <w:rFonts w:ascii="Arial" w:hAnsi="Arial" w:cs="Arial"/>
          <w:color w:val="000000"/>
        </w:rPr>
      </w:pPr>
      <w:r w:rsidRPr="007B5F97">
        <w:rPr>
          <w:rFonts w:ascii="Arial" w:hAnsi="Arial" w:cs="Arial"/>
          <w:color w:val="000000"/>
        </w:rPr>
        <w:t xml:space="preserve">Director de la Policía Nacional.  </w:t>
      </w:r>
    </w:p>
    <w:p w:rsidR="001706CB" w:rsidRDefault="006262B6" w:rsidP="006262B6">
      <w:pPr>
        <w:numPr>
          <w:ilvl w:val="0"/>
          <w:numId w:val="27"/>
        </w:numPr>
        <w:pBdr>
          <w:top w:val="nil"/>
          <w:left w:val="nil"/>
          <w:bottom w:val="nil"/>
          <w:right w:val="nil"/>
          <w:between w:val="nil"/>
        </w:pBdr>
        <w:spacing w:after="3" w:line="240" w:lineRule="atLeast"/>
        <w:ind w:right="2"/>
        <w:jc w:val="both"/>
        <w:rPr>
          <w:rFonts w:ascii="Arial" w:hAnsi="Arial" w:cs="Arial"/>
          <w:color w:val="000000"/>
        </w:rPr>
      </w:pPr>
      <w:r w:rsidRPr="007B5F97">
        <w:rPr>
          <w:rFonts w:ascii="Arial" w:hAnsi="Arial" w:cs="Arial"/>
          <w:color w:val="000000"/>
        </w:rPr>
        <w:t>Cinco representantes que para el efecto designe el Consejo Nacional de Talento Humano en Salud conforme al artículo 7 de la Ley 1164 de 2007.</w:t>
      </w:r>
    </w:p>
    <w:p w:rsidR="001706CB" w:rsidRDefault="001706CB" w:rsidP="006262B6">
      <w:pPr>
        <w:numPr>
          <w:ilvl w:val="0"/>
          <w:numId w:val="27"/>
        </w:numPr>
        <w:pBdr>
          <w:top w:val="nil"/>
          <w:left w:val="nil"/>
          <w:bottom w:val="nil"/>
          <w:right w:val="nil"/>
          <w:between w:val="nil"/>
        </w:pBdr>
        <w:spacing w:after="3" w:line="240" w:lineRule="atLeast"/>
        <w:ind w:right="2"/>
        <w:jc w:val="both"/>
        <w:rPr>
          <w:rFonts w:ascii="Arial" w:hAnsi="Arial" w:cs="Arial"/>
          <w:color w:val="000000"/>
        </w:rPr>
      </w:pPr>
      <w:r>
        <w:rPr>
          <w:rFonts w:ascii="Arial" w:hAnsi="Arial" w:cs="Arial"/>
          <w:color w:val="000000"/>
        </w:rPr>
        <w:t>Ministerio del Trabajo</w:t>
      </w:r>
    </w:p>
    <w:p w:rsidR="006262B6" w:rsidRPr="007B5F97" w:rsidRDefault="001706CB" w:rsidP="006262B6">
      <w:pPr>
        <w:numPr>
          <w:ilvl w:val="0"/>
          <w:numId w:val="27"/>
        </w:numPr>
        <w:pBdr>
          <w:top w:val="nil"/>
          <w:left w:val="nil"/>
          <w:bottom w:val="nil"/>
          <w:right w:val="nil"/>
          <w:between w:val="nil"/>
        </w:pBdr>
        <w:spacing w:after="3" w:line="240" w:lineRule="atLeast"/>
        <w:ind w:right="2"/>
        <w:jc w:val="both"/>
        <w:rPr>
          <w:rFonts w:ascii="Arial" w:hAnsi="Arial" w:cs="Arial"/>
          <w:color w:val="000000"/>
        </w:rPr>
      </w:pPr>
      <w:r>
        <w:rPr>
          <w:rFonts w:ascii="Arial" w:hAnsi="Arial" w:cs="Arial"/>
          <w:color w:val="000000"/>
        </w:rPr>
        <w:t xml:space="preserve">Un representante de las Instituciones Prestadoras de Servicios de Salud </w:t>
      </w:r>
      <w:r w:rsidR="006262B6" w:rsidRPr="007B5F97">
        <w:rPr>
          <w:rFonts w:ascii="Arial" w:hAnsi="Arial" w:cs="Arial"/>
          <w:color w:val="000000"/>
        </w:rPr>
        <w:t xml:space="preserve"> </w:t>
      </w:r>
    </w:p>
    <w:p w:rsidR="006262B6" w:rsidRPr="007B5F97" w:rsidRDefault="006262B6" w:rsidP="006262B6">
      <w:pPr>
        <w:spacing w:after="3" w:line="240" w:lineRule="atLeast"/>
        <w:ind w:right="2" w:hanging="2"/>
        <w:rPr>
          <w:rFonts w:ascii="Arial" w:hAnsi="Arial" w:cs="Arial"/>
          <w:color w:val="000000"/>
        </w:rPr>
      </w:pPr>
      <w:r w:rsidRPr="007B5F97">
        <w:rPr>
          <w:rFonts w:ascii="Arial" w:hAnsi="Arial" w:cs="Arial"/>
          <w:b/>
          <w:color w:val="000000"/>
        </w:rPr>
        <w:t xml:space="preserve">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 xml:space="preserve">Parágrafo. </w:t>
      </w:r>
      <w:r w:rsidRPr="007B5F97">
        <w:rPr>
          <w:rFonts w:ascii="Arial" w:hAnsi="Arial" w:cs="Arial"/>
          <w:color w:val="000000"/>
        </w:rPr>
        <w:t xml:space="preserve">El comité deberá sesionar como mínimo (3) veces al año, deberá adoptar su propio reglamento, podrá sesionar por iniciativa de cualquiera de los integrantes.  Así mismo, deberán rendir informe a las Comisiones Séptima del Congreso de la República, donde se evidencie el cumplimiento del objeto y alcance de la presente ley.  </w:t>
      </w:r>
    </w:p>
    <w:p w:rsidR="006262B6" w:rsidRPr="007B5F97" w:rsidRDefault="006262B6" w:rsidP="006262B6">
      <w:pPr>
        <w:spacing w:after="3"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 xml:space="preserve">ARTÍCULO 9°. Ruta de atención y denuncia de la Violencia contra el talento humano del área de la Salud. </w:t>
      </w:r>
      <w:r w:rsidRPr="007B5F97">
        <w:rPr>
          <w:rFonts w:ascii="Arial" w:hAnsi="Arial" w:cs="Arial"/>
          <w:color w:val="000000"/>
        </w:rPr>
        <w:t xml:space="preserve">El Ministerio de Salud y Protección Social en apoyo con la Fiscalía General de la Nación, la Policía Nacional de Colombia y en coordinación con la Defensoría del Pueblo, diseñarán un canal de comunicación para atender y dar respuesta efectiva a las denuncias atinentes a episodios de violencia en contra el talento humano del Sistema de Salud adelantando asistencia y acompañamiento a la víctima para la correspondiente presentación de la denuncia. Igualmente brindarán asistencia y acompañamiento a la víctima para la correspondiente presentación de la denuncia.  </w:t>
      </w:r>
    </w:p>
    <w:p w:rsidR="006262B6" w:rsidRPr="007B5F97" w:rsidRDefault="006262B6" w:rsidP="006262B6">
      <w:pPr>
        <w:spacing w:after="3"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color w:val="000000"/>
        </w:rPr>
        <w:t xml:space="preserve">Todos los actores de la presente ley deberán garantizar la divulgación y cumplimiento efectivo del uso adecuado de la ruta de atención y de la información que se genere del reporte del uso de la ruta. </w:t>
      </w:r>
    </w:p>
    <w:p w:rsidR="006262B6" w:rsidRPr="007B5F97" w:rsidRDefault="006262B6" w:rsidP="006262B6">
      <w:pPr>
        <w:spacing w:after="3" w:line="240" w:lineRule="atLeast"/>
        <w:ind w:right="2" w:hanging="2"/>
        <w:jc w:val="both"/>
        <w:rPr>
          <w:rFonts w:ascii="Arial" w:hAnsi="Arial" w:cs="Arial"/>
          <w:color w:val="000000"/>
        </w:rPr>
      </w:pP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color w:val="000000"/>
        </w:rPr>
        <w:t xml:space="preserve">En casos de grave afectación a la salud pública, pandemias, epidemias y / o similares, se deberá generar una ruta de atención especial para proteger la integridad del Talento Humano del Sistema de Salud y la de sus familiares. </w:t>
      </w:r>
    </w:p>
    <w:p w:rsidR="006262B6" w:rsidRPr="007B5F97" w:rsidRDefault="006262B6" w:rsidP="006262B6">
      <w:pPr>
        <w:spacing w:after="3" w:line="240" w:lineRule="atLeast"/>
        <w:ind w:right="2" w:hanging="2"/>
        <w:jc w:val="both"/>
        <w:rPr>
          <w:rFonts w:ascii="Arial" w:hAnsi="Arial" w:cs="Arial"/>
          <w:color w:val="000000"/>
        </w:rPr>
      </w:pP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color w:val="000000"/>
        </w:rPr>
        <w:t xml:space="preserve">Dicha ruta, deberá estar conectada con </w:t>
      </w:r>
      <w:r w:rsidRPr="007B5F97">
        <w:rPr>
          <w:rFonts w:ascii="Arial" w:hAnsi="Arial" w:cs="Arial"/>
          <w:color w:val="000000"/>
          <w:highlight w:val="white"/>
        </w:rPr>
        <w:t>la ruta de atención integral para víctimas de violencias de género</w:t>
      </w:r>
      <w:r w:rsidRPr="007B5F97">
        <w:rPr>
          <w:rFonts w:ascii="Arial" w:hAnsi="Arial" w:cs="Arial"/>
          <w:color w:val="000000"/>
        </w:rPr>
        <w:t xml:space="preserve"> garantizando una integración y coordinación efectiva.</w:t>
      </w:r>
    </w:p>
    <w:p w:rsidR="006262B6" w:rsidRPr="007B5F97" w:rsidRDefault="006262B6" w:rsidP="006262B6">
      <w:pPr>
        <w:spacing w:after="3"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 xml:space="preserve">ARTÍCULO 10°. Protección del buen nombre del talento humano del sistema de salud. </w:t>
      </w:r>
      <w:r w:rsidRPr="007B5F97">
        <w:rPr>
          <w:rFonts w:ascii="Arial" w:hAnsi="Arial" w:cs="Arial"/>
          <w:color w:val="000000"/>
        </w:rPr>
        <w:t xml:space="preserve">El talento humano del Sistema de Salud tiene derecho a que se preserve su buen nombre, el debido proceso y se otorguen las garantías necesarias para la protección de sus derechos.  </w:t>
      </w:r>
    </w:p>
    <w:p w:rsidR="006262B6" w:rsidRPr="007B5F97" w:rsidRDefault="006262B6" w:rsidP="006262B6">
      <w:pPr>
        <w:spacing w:after="3"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color w:val="000000"/>
        </w:rPr>
        <w:t xml:space="preserve">Las personas naturales o jurídicas que generen, publiquen o difundan información relacionada con los títulos, desempeño o ejercicio del talento humano, deberán informar de manera </w:t>
      </w:r>
      <w:r w:rsidRPr="007B5F97">
        <w:rPr>
          <w:rFonts w:ascii="Arial" w:hAnsi="Arial" w:cs="Arial"/>
          <w:color w:val="000000"/>
        </w:rPr>
        <w:lastRenderedPageBreak/>
        <w:t xml:space="preserve">completa, veraz e imparcial los hechos sin generar confusión en la opinión pública ni afectar el derecho al buen nombre del talento humano del sistema de salud.  </w:t>
      </w:r>
    </w:p>
    <w:p w:rsidR="006262B6" w:rsidRPr="007B5F97" w:rsidRDefault="006262B6" w:rsidP="006262B6">
      <w:pPr>
        <w:spacing w:after="3"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color w:val="000000"/>
        </w:rPr>
        <w:t xml:space="preserve">Las personas que publiquen o difundan información relacionada con investigaciones, procesos judiciales o administrativos relacionados con el ejercicio profesional del personal del talento humano del sistema salud, deben publicar y difundir los fallos o decisiones que resulten favorables a estos, en los mismos términos y por los mismos medios de la publicación inicial </w:t>
      </w:r>
    </w:p>
    <w:p w:rsidR="006262B6" w:rsidRPr="007B5F97" w:rsidRDefault="006262B6" w:rsidP="006262B6">
      <w:pPr>
        <w:spacing w:after="3" w:line="240" w:lineRule="atLeast"/>
        <w:ind w:right="2" w:hanging="2"/>
        <w:rPr>
          <w:rFonts w:ascii="Arial" w:hAnsi="Arial" w:cs="Arial"/>
          <w:color w:val="000000"/>
        </w:rPr>
      </w:pP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ARTÍCULO 11º. Trato digno en la formación del talento humano del sistema de salud</w:t>
      </w:r>
      <w:r w:rsidRPr="007B5F97">
        <w:rPr>
          <w:rFonts w:ascii="Arial" w:hAnsi="Arial" w:cs="Arial"/>
          <w:color w:val="000000"/>
        </w:rPr>
        <w:t xml:space="preserve">. El Gobierno Nacional promoverá la creación de una política integral con el fin principal de combatir todas las formas de violencia física, sexual, intelectual y psicológica que pueden afectar al talento humano, en los procesos de formación de programas académicos del área de la salud y ejercicio de la profesión del talento humano o en cualquier otro ámbito que considere pertinente.  </w:t>
      </w:r>
    </w:p>
    <w:p w:rsidR="006262B6" w:rsidRPr="007B5F97" w:rsidRDefault="006262B6" w:rsidP="006262B6">
      <w:pPr>
        <w:spacing w:after="3" w:line="240" w:lineRule="atLeast"/>
        <w:ind w:right="2" w:hanging="2"/>
        <w:rPr>
          <w:rFonts w:ascii="Arial" w:hAnsi="Arial" w:cs="Arial"/>
          <w:color w:val="000000"/>
        </w:rPr>
      </w:pPr>
      <w:r w:rsidRPr="007B5F97">
        <w:rPr>
          <w:rFonts w:ascii="Arial" w:hAnsi="Arial" w:cs="Arial"/>
          <w:color w:val="000000"/>
        </w:rPr>
        <w:t xml:space="preserve"> </w:t>
      </w:r>
    </w:p>
    <w:p w:rsidR="006262B6" w:rsidRPr="007B5F97" w:rsidRDefault="006262B6" w:rsidP="006262B6">
      <w:pPr>
        <w:spacing w:after="3" w:line="240" w:lineRule="atLeast"/>
        <w:ind w:right="2" w:hanging="2"/>
        <w:jc w:val="both"/>
        <w:rPr>
          <w:rFonts w:ascii="Arial" w:hAnsi="Arial" w:cs="Arial"/>
          <w:color w:val="000000"/>
        </w:rPr>
      </w:pPr>
      <w:r w:rsidRPr="007B5F97">
        <w:rPr>
          <w:rFonts w:ascii="Arial" w:hAnsi="Arial" w:cs="Arial"/>
          <w:b/>
          <w:color w:val="000000"/>
        </w:rPr>
        <w:t>Parágrafo.</w:t>
      </w:r>
      <w:r w:rsidRPr="007B5F97">
        <w:rPr>
          <w:rFonts w:ascii="Arial" w:hAnsi="Arial" w:cs="Arial"/>
          <w:color w:val="000000"/>
        </w:rPr>
        <w:t xml:space="preserve"> En un plazo de seis (6) meses a partir de la promulgación de la presente ley, </w:t>
      </w:r>
      <w:r w:rsidR="001706CB">
        <w:rPr>
          <w:rFonts w:ascii="Arial" w:hAnsi="Arial" w:cs="Arial"/>
          <w:color w:val="000000"/>
        </w:rPr>
        <w:t xml:space="preserve">el </w:t>
      </w:r>
      <w:r w:rsidRPr="007B5F97">
        <w:rPr>
          <w:rFonts w:ascii="Arial" w:hAnsi="Arial" w:cs="Arial"/>
          <w:color w:val="000000"/>
        </w:rPr>
        <w:t>Ministerio</w:t>
      </w:r>
      <w:r w:rsidR="001706CB">
        <w:rPr>
          <w:rFonts w:ascii="Arial" w:hAnsi="Arial" w:cs="Arial"/>
          <w:color w:val="000000"/>
        </w:rPr>
        <w:t xml:space="preserve"> de Educación Nacional y el Ministerio de Salud, </w:t>
      </w:r>
      <w:r w:rsidRPr="007B5F97">
        <w:rPr>
          <w:rFonts w:ascii="Arial" w:hAnsi="Arial" w:cs="Arial"/>
          <w:color w:val="000000"/>
        </w:rPr>
        <w:t xml:space="preserve">solicitarán información detallada en materia de atención y control de violencia física, psicológica y sexual del talento humano del sistema de salud a todas las instituciones de educación superior con programas académicos de formación del talento humano, a los Hospitales Universitarios y a las demás instituciones que se constituyan en escenarios de práctica. </w:t>
      </w:r>
    </w:p>
    <w:p w:rsidR="006262B6" w:rsidRPr="007B5F97" w:rsidRDefault="006262B6" w:rsidP="006262B6">
      <w:pPr>
        <w:spacing w:after="3" w:line="240" w:lineRule="atLeast"/>
        <w:ind w:right="2" w:hanging="2"/>
        <w:rPr>
          <w:rFonts w:ascii="Arial" w:hAnsi="Arial" w:cs="Arial"/>
          <w:color w:val="000000"/>
        </w:rPr>
      </w:pPr>
    </w:p>
    <w:p w:rsidR="00F718B4" w:rsidRDefault="006262B6" w:rsidP="006262B6">
      <w:pPr>
        <w:pStyle w:val="Sinespaciado"/>
        <w:rPr>
          <w:rFonts w:cs="Arial"/>
          <w:color w:val="000000"/>
        </w:rPr>
      </w:pPr>
      <w:r w:rsidRPr="007B5F97">
        <w:rPr>
          <w:rFonts w:cs="Arial"/>
          <w:b/>
          <w:color w:val="000000"/>
        </w:rPr>
        <w:t xml:space="preserve">ARTÍCULO 12º. Vigencia y derogatoria. </w:t>
      </w:r>
      <w:r w:rsidRPr="007B5F97">
        <w:rPr>
          <w:rFonts w:cs="Arial"/>
          <w:color w:val="000000"/>
        </w:rPr>
        <w:t>La presente ley rige a partir de la fecha de su promulgación y publicación y deroga las normas que le sean contrarias.</w:t>
      </w:r>
    </w:p>
    <w:p w:rsidR="00F718B4" w:rsidRDefault="00F718B4" w:rsidP="00FC1DEF">
      <w:pPr>
        <w:pStyle w:val="Sinespaciado"/>
        <w:rPr>
          <w:rFonts w:cs="Arial"/>
          <w:color w:val="000000"/>
        </w:rPr>
      </w:pPr>
    </w:p>
    <w:p w:rsidR="006A6E00" w:rsidRDefault="006A6E00" w:rsidP="00FC1DEF">
      <w:pPr>
        <w:pStyle w:val="Sinespaciado"/>
        <w:rPr>
          <w:rFonts w:cs="Arial"/>
          <w:color w:val="000000"/>
        </w:rPr>
      </w:pPr>
    </w:p>
    <w:p w:rsidR="006262B6" w:rsidRDefault="006262B6" w:rsidP="00FC1DEF">
      <w:pPr>
        <w:pStyle w:val="Sinespaciado"/>
        <w:rPr>
          <w:rFonts w:cs="Arial"/>
          <w:color w:val="000000"/>
        </w:rPr>
      </w:pPr>
    </w:p>
    <w:p w:rsidR="006262B6" w:rsidRDefault="006262B6" w:rsidP="00FC1DEF">
      <w:pPr>
        <w:pStyle w:val="Sinespaciado"/>
        <w:rPr>
          <w:rFonts w:cs="Arial"/>
          <w:color w:val="000000"/>
        </w:rPr>
      </w:pPr>
    </w:p>
    <w:p w:rsidR="00F718B4" w:rsidRDefault="00F718B4" w:rsidP="00FC1DEF">
      <w:pPr>
        <w:pStyle w:val="Sinespaciado"/>
        <w:rPr>
          <w:rFonts w:cs="Arial"/>
          <w:color w:val="000000"/>
        </w:rPr>
      </w:pPr>
    </w:p>
    <w:p w:rsidR="006E594C" w:rsidRDefault="00A5673E" w:rsidP="006262B6">
      <w:pPr>
        <w:pStyle w:val="Sinespaciado"/>
        <w:spacing w:line="240" w:lineRule="atLeast"/>
        <w:jc w:val="center"/>
        <w:rPr>
          <w:rFonts w:cs="Arial"/>
          <w:b/>
        </w:rPr>
      </w:pPr>
      <w:r>
        <w:rPr>
          <w:rFonts w:cs="Arial"/>
          <w:b/>
        </w:rPr>
        <w:t xml:space="preserve">Víctor Manuel Salcedo </w:t>
      </w:r>
      <w:r w:rsidR="004F0BC8">
        <w:rPr>
          <w:rFonts w:cs="Arial"/>
          <w:b/>
        </w:rPr>
        <w:t>Guerrero</w:t>
      </w:r>
    </w:p>
    <w:p w:rsidR="004D631D" w:rsidRPr="006262B6" w:rsidRDefault="006A6E00" w:rsidP="006262B6">
      <w:pPr>
        <w:pStyle w:val="Sinespaciado"/>
        <w:spacing w:line="240" w:lineRule="atLeast"/>
        <w:jc w:val="center"/>
        <w:rPr>
          <w:rFonts w:eastAsia="Arial" w:cs="Arial"/>
          <w:b/>
          <w:color w:val="000000"/>
        </w:rPr>
      </w:pPr>
      <w:r>
        <w:rPr>
          <w:rFonts w:cs="Arial"/>
        </w:rPr>
        <w:t>Representante a la Cáma</w:t>
      </w:r>
      <w:bookmarkStart w:id="0" w:name="_GoBack"/>
      <w:bookmarkEnd w:id="0"/>
      <w:r>
        <w:rPr>
          <w:rFonts w:cs="Arial"/>
        </w:rPr>
        <w:t>ra</w:t>
      </w:r>
    </w:p>
    <w:sectPr w:rsidR="004D631D" w:rsidRPr="006262B6" w:rsidSect="004F0BC8">
      <w:headerReference w:type="default" r:id="rId9"/>
      <w:footerReference w:type="default" r:id="rId10"/>
      <w:type w:val="continuous"/>
      <w:pgSz w:w="12240" w:h="15840" w:code="1"/>
      <w:pgMar w:top="1701" w:right="1418" w:bottom="794" w:left="1701"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6F0" w:rsidRDefault="007206F0">
      <w:pPr>
        <w:spacing w:after="0" w:line="240" w:lineRule="auto"/>
      </w:pPr>
      <w:r>
        <w:separator/>
      </w:r>
    </w:p>
  </w:endnote>
  <w:endnote w:type="continuationSeparator" w:id="0">
    <w:p w:rsidR="007206F0" w:rsidRDefault="0072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E1" w:rsidRPr="008A36E1" w:rsidRDefault="008A36E1">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6262B6">
      <w:rPr>
        <w:rFonts w:ascii="Arial" w:hAnsi="Arial" w:cs="Arial"/>
        <w:color w:val="4F81BD" w:themeColor="accent1"/>
        <w:sz w:val="16"/>
        <w:szCs w:val="16"/>
        <w:lang w:val="es-ES"/>
      </w:rPr>
      <w:t>117</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1706CB" w:rsidRPr="001706CB">
      <w:rPr>
        <w:rFonts w:ascii="Arial" w:hAnsi="Arial" w:cs="Arial"/>
        <w:noProof/>
        <w:color w:val="4F81BD" w:themeColor="accent1"/>
        <w:sz w:val="16"/>
        <w:szCs w:val="16"/>
        <w:lang w:val="es-ES"/>
      </w:rPr>
      <w:t>5</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1706CB" w:rsidRPr="001706CB">
      <w:rPr>
        <w:rFonts w:ascii="Arial" w:hAnsi="Arial" w:cs="Arial"/>
        <w:noProof/>
        <w:color w:val="4F81BD" w:themeColor="accent1"/>
        <w:sz w:val="16"/>
        <w:szCs w:val="16"/>
        <w:lang w:val="es-ES"/>
      </w:rPr>
      <w:t>5</w:t>
    </w:r>
    <w:r w:rsidRPr="008A36E1">
      <w:rPr>
        <w:rFonts w:ascii="Arial" w:hAnsi="Arial" w:cs="Arial"/>
        <w:color w:val="4F81BD" w:themeColor="accent1"/>
        <w:sz w:val="16"/>
        <w:szCs w:val="16"/>
      </w:rPr>
      <w:fldChar w:fldCharType="end"/>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6F0" w:rsidRDefault="007206F0">
      <w:pPr>
        <w:spacing w:after="0" w:line="240" w:lineRule="auto"/>
      </w:pPr>
      <w:r>
        <w:separator/>
      </w:r>
    </w:p>
  </w:footnote>
  <w:footnote w:type="continuationSeparator" w:id="0">
    <w:p w:rsidR="007206F0" w:rsidRDefault="00720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DE111B8"/>
    <w:multiLevelType w:val="multilevel"/>
    <w:tmpl w:val="F528BBF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91473DF"/>
    <w:multiLevelType w:val="multilevel"/>
    <w:tmpl w:val="F8103AF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A31BDC"/>
    <w:multiLevelType w:val="multilevel"/>
    <w:tmpl w:val="09F43FA2"/>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7" w15:restartNumberingAfterBreak="0">
    <w:nsid w:val="4EB82258"/>
    <w:multiLevelType w:val="multilevel"/>
    <w:tmpl w:val="6978AEB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8"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20"/>
  </w:num>
  <w:num w:numId="5">
    <w:abstractNumId w:val="9"/>
  </w:num>
  <w:num w:numId="6">
    <w:abstractNumId w:val="12"/>
  </w:num>
  <w:num w:numId="7">
    <w:abstractNumId w:val="1"/>
  </w:num>
  <w:num w:numId="8">
    <w:abstractNumId w:val="8"/>
  </w:num>
  <w:num w:numId="9">
    <w:abstractNumId w:val="24"/>
  </w:num>
  <w:num w:numId="10">
    <w:abstractNumId w:val="14"/>
  </w:num>
  <w:num w:numId="11">
    <w:abstractNumId w:val="4"/>
  </w:num>
  <w:num w:numId="12">
    <w:abstractNumId w:val="25"/>
  </w:num>
  <w:num w:numId="13">
    <w:abstractNumId w:val="21"/>
  </w:num>
  <w:num w:numId="14">
    <w:abstractNumId w:val="23"/>
  </w:num>
  <w:num w:numId="15">
    <w:abstractNumId w:val="19"/>
  </w:num>
  <w:num w:numId="16">
    <w:abstractNumId w:val="7"/>
  </w:num>
  <w:num w:numId="17">
    <w:abstractNumId w:val="15"/>
  </w:num>
  <w:num w:numId="18">
    <w:abstractNumId w:val="5"/>
  </w:num>
  <w:num w:numId="19">
    <w:abstractNumId w:val="13"/>
  </w:num>
  <w:num w:numId="20">
    <w:abstractNumId w:val="26"/>
  </w:num>
  <w:num w:numId="21">
    <w:abstractNumId w:val="22"/>
  </w:num>
  <w:num w:numId="22">
    <w:abstractNumId w:val="0"/>
  </w:num>
  <w:num w:numId="23">
    <w:abstractNumId w:val="18"/>
  </w:num>
  <w:num w:numId="24">
    <w:abstractNumId w:val="3"/>
  </w:num>
  <w:num w:numId="25">
    <w:abstractNumId w:val="11"/>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D4049"/>
    <w:rsid w:val="000F3249"/>
    <w:rsid w:val="000F3F41"/>
    <w:rsid w:val="00102AC9"/>
    <w:rsid w:val="00106067"/>
    <w:rsid w:val="001303C3"/>
    <w:rsid w:val="00134E23"/>
    <w:rsid w:val="00141A7E"/>
    <w:rsid w:val="00145732"/>
    <w:rsid w:val="001706CB"/>
    <w:rsid w:val="001826C3"/>
    <w:rsid w:val="00193E1C"/>
    <w:rsid w:val="001B1C28"/>
    <w:rsid w:val="00217B1E"/>
    <w:rsid w:val="00227978"/>
    <w:rsid w:val="00245986"/>
    <w:rsid w:val="00273C01"/>
    <w:rsid w:val="002A1BAF"/>
    <w:rsid w:val="00330383"/>
    <w:rsid w:val="00332B24"/>
    <w:rsid w:val="00344B4D"/>
    <w:rsid w:val="00375224"/>
    <w:rsid w:val="003B3F8A"/>
    <w:rsid w:val="003C3541"/>
    <w:rsid w:val="003C5D20"/>
    <w:rsid w:val="003D08DE"/>
    <w:rsid w:val="00414BFD"/>
    <w:rsid w:val="00484475"/>
    <w:rsid w:val="004B0124"/>
    <w:rsid w:val="004D631D"/>
    <w:rsid w:val="004F0BC8"/>
    <w:rsid w:val="005004BD"/>
    <w:rsid w:val="00523CF6"/>
    <w:rsid w:val="00533F5F"/>
    <w:rsid w:val="00545AF9"/>
    <w:rsid w:val="0057061D"/>
    <w:rsid w:val="005970FF"/>
    <w:rsid w:val="005B79B2"/>
    <w:rsid w:val="005E0653"/>
    <w:rsid w:val="006020FC"/>
    <w:rsid w:val="006262B6"/>
    <w:rsid w:val="0066551C"/>
    <w:rsid w:val="00676A02"/>
    <w:rsid w:val="006A6E00"/>
    <w:rsid w:val="006A6E52"/>
    <w:rsid w:val="006D531F"/>
    <w:rsid w:val="006E594C"/>
    <w:rsid w:val="00703BB5"/>
    <w:rsid w:val="007206F0"/>
    <w:rsid w:val="00751A35"/>
    <w:rsid w:val="00767847"/>
    <w:rsid w:val="00780935"/>
    <w:rsid w:val="00793F4D"/>
    <w:rsid w:val="007D2959"/>
    <w:rsid w:val="007D3C92"/>
    <w:rsid w:val="008254EF"/>
    <w:rsid w:val="00854555"/>
    <w:rsid w:val="008A36E1"/>
    <w:rsid w:val="008A4A9B"/>
    <w:rsid w:val="008C5481"/>
    <w:rsid w:val="008E2412"/>
    <w:rsid w:val="008E689B"/>
    <w:rsid w:val="00900D93"/>
    <w:rsid w:val="00931B69"/>
    <w:rsid w:val="00980D46"/>
    <w:rsid w:val="00984A08"/>
    <w:rsid w:val="009A5477"/>
    <w:rsid w:val="009E1B8B"/>
    <w:rsid w:val="009E3F42"/>
    <w:rsid w:val="00A10DC4"/>
    <w:rsid w:val="00A260C7"/>
    <w:rsid w:val="00A27D65"/>
    <w:rsid w:val="00A549FD"/>
    <w:rsid w:val="00A5673E"/>
    <w:rsid w:val="00AA5167"/>
    <w:rsid w:val="00AC09C4"/>
    <w:rsid w:val="00AC2952"/>
    <w:rsid w:val="00AF4493"/>
    <w:rsid w:val="00B31264"/>
    <w:rsid w:val="00B4204B"/>
    <w:rsid w:val="00B47081"/>
    <w:rsid w:val="00B57363"/>
    <w:rsid w:val="00BA2504"/>
    <w:rsid w:val="00BA6354"/>
    <w:rsid w:val="00BF5872"/>
    <w:rsid w:val="00BF5DE4"/>
    <w:rsid w:val="00C04298"/>
    <w:rsid w:val="00C0783C"/>
    <w:rsid w:val="00C10A0F"/>
    <w:rsid w:val="00C24F1B"/>
    <w:rsid w:val="00C25E24"/>
    <w:rsid w:val="00C64587"/>
    <w:rsid w:val="00C85EE9"/>
    <w:rsid w:val="00D16302"/>
    <w:rsid w:val="00D410FE"/>
    <w:rsid w:val="00D65C9D"/>
    <w:rsid w:val="00D7787B"/>
    <w:rsid w:val="00DC1FF5"/>
    <w:rsid w:val="00E02D4A"/>
    <w:rsid w:val="00E2082D"/>
    <w:rsid w:val="00E27292"/>
    <w:rsid w:val="00E75029"/>
    <w:rsid w:val="00EB3579"/>
    <w:rsid w:val="00EF5B1B"/>
    <w:rsid w:val="00F04E2C"/>
    <w:rsid w:val="00F25E2F"/>
    <w:rsid w:val="00F42CA9"/>
    <w:rsid w:val="00F50D3E"/>
    <w:rsid w:val="00F66F0B"/>
    <w:rsid w:val="00F67633"/>
    <w:rsid w:val="00F718B4"/>
    <w:rsid w:val="00FC1DEF"/>
    <w:rsid w:val="00FE68A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BA0E"/>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ADE7CD-EB6E-457F-B754-A6F1D052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2091</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9</cp:revision>
  <cp:lastPrinted>2022-11-28T15:09:00Z</cp:lastPrinted>
  <dcterms:created xsi:type="dcterms:W3CDTF">2025-02-20T17:48:00Z</dcterms:created>
  <dcterms:modified xsi:type="dcterms:W3CDTF">2025-02-20T18:17:00Z</dcterms:modified>
</cp:coreProperties>
</file>